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7B4107">
      <w:pPr>
        <w:autoSpaceDE w:val="0"/>
        <w:autoSpaceDN w:val="0"/>
        <w:adjustRightInd w:val="0"/>
        <w:spacing w:after="56"/>
        <w:jc w:val="left"/>
        <w:rPr>
          <w:rFonts w:ascii="sans-serif" w:hAnsi="sans-serif" w:cs="sans-serif"/>
          <w:b/>
          <w:bCs/>
          <w:color w:val="505050"/>
          <w:kern w:val="0"/>
          <w:sz w:val="20"/>
          <w:szCs w:val="20"/>
        </w:rPr>
      </w:pPr>
      <w:bookmarkStart w:id="0" w:name="_GoBack"/>
      <w:bookmarkEnd w:id="0"/>
      <w:r>
        <w:rPr>
          <w:rFonts w:ascii="sans-serif" w:hAnsi="sans-serif" w:cs="sans-serif"/>
          <w:b/>
          <w:bCs/>
          <w:color w:val="000000"/>
          <w:kern w:val="0"/>
          <w:sz w:val="24"/>
          <w:szCs w:val="24"/>
        </w:rPr>
        <w:t>1. Recycling gold from printed circuit boards gold-plated layer of waste mobile phones in “mild aqua regia” system</w:t>
      </w:r>
      <w:r>
        <w:rPr>
          <w:rFonts w:ascii="sans-serif" w:hAnsi="sans-serif" w:cs="sans-serif"/>
          <w:b/>
          <w:bCs/>
          <w:color w:val="505050"/>
          <w:kern w:val="0"/>
          <w:sz w:val="20"/>
          <w:szCs w:val="20"/>
        </w:rPr>
        <w:t>    </w:t>
      </w:r>
      <w:r>
        <w:rPr>
          <w:rFonts w:ascii="sans-serif" w:hAnsi="sans-serif" w:cs="sans-serif"/>
          <w:b/>
          <w:bCs/>
          <w:color w:val="505050"/>
          <w:kern w:val="0"/>
          <w:sz w:val="20"/>
          <w:szCs w:val="20"/>
        </w:rPr>
        <w:t>(</w:t>
      </w:r>
      <w:r>
        <w:rPr>
          <w:rFonts w:ascii="sans-serif" w:hAnsi="sans-serif" w:cs="sans-serif"/>
          <w:b/>
          <w:bCs/>
          <w:i/>
          <w:iCs/>
          <w:color w:val="D14905"/>
          <w:kern w:val="0"/>
          <w:sz w:val="20"/>
          <w:szCs w:val="20"/>
        </w:rPr>
        <w:t>Open Access</w:t>
      </w:r>
      <w:r>
        <w:rPr>
          <w:rFonts w:ascii="sans-serif" w:hAnsi="sans-serif" w:cs="sans-serif"/>
          <w:b/>
          <w:bCs/>
          <w:color w:val="505050"/>
          <w:kern w:val="0"/>
          <w:sz w:val="20"/>
          <w:szCs w:val="20"/>
        </w:rPr>
        <w:t>)</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20203409062923</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Wang, Ruixue (1, 2); Zhang, Chenglong (1, 2); Zhao, Yingfan (1, 2); Zhou, Yongjie (1, 2); Ma, En (1, 2); Bai, Jianfeng (1, 2); Wang, Jingwei (1, 2)</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Research Center of Resource Recycling Science and Engineering, Shanghai Polytechnic University, No. 2360 Jinhai Road, Shanghai; 201209, China; (2) Shanghai Collaborative Innovation Centre for Waste Electrical and Electronic Equipment Recycling, Shangha</w:t>
      </w:r>
      <w:r>
        <w:rPr>
          <w:rFonts w:ascii="sans-serif" w:hAnsi="sans-serif" w:cs="sans-serif"/>
          <w:color w:val="000000"/>
          <w:kern w:val="0"/>
          <w:sz w:val="20"/>
          <w:szCs w:val="20"/>
        </w:rPr>
        <w:t>i Polytechnic University, No. 2360 Jinhai Road, Shanghai; 201209,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Zhang, Chenglong(chenglongzh@sina.com)</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Journal of Cleaner Production</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J. Clean. Prod.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278</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1 January 202</w:t>
      </w:r>
      <w:r>
        <w:rPr>
          <w:rFonts w:ascii="sans-serif" w:hAnsi="sans-serif" w:cs="sans-serif"/>
          <w:color w:val="000000"/>
          <w:kern w:val="0"/>
          <w:sz w:val="20"/>
          <w:szCs w:val="20"/>
        </w:rPr>
        <w:t>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123597</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09596526</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JCROE8</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Ltd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Traditional mechanical pretreatment and hydrometallurgy is the mainstream technology to rec</w:t>
      </w:r>
      <w:r>
        <w:rPr>
          <w:rFonts w:ascii="sans-serif" w:hAnsi="sans-serif" w:cs="sans-serif"/>
          <w:color w:val="000000"/>
          <w:kern w:val="0"/>
          <w:sz w:val="20"/>
          <w:szCs w:val="20"/>
        </w:rPr>
        <w:t>ycle gold from waste printed circuit boards (PCBs). However, this method is cumbersome and often employs toxic/harsh chemicals. In the present study, gold was easily recycled from PCBs gold-plated layer of waste mobile phones (WMPs) in DMF-CuCl2-CaCl2 (DMF</w:t>
      </w:r>
      <w:r>
        <w:rPr>
          <w:rFonts w:ascii="sans-serif" w:hAnsi="sans-serif" w:cs="sans-serif"/>
          <w:color w:val="000000"/>
          <w:kern w:val="0"/>
          <w:sz w:val="20"/>
          <w:szCs w:val="20"/>
        </w:rPr>
        <w:t>: dimethyl formamide) system what we call “mild aqua regia” without pretreatments or enrichment process, and the reaction system could be cyclic utilized. In such reaction system, gold could be recycled through leaching, precipitation and filtration. The r</w:t>
      </w:r>
      <w:r>
        <w:rPr>
          <w:rFonts w:ascii="sans-serif" w:hAnsi="sans-serif" w:cs="sans-serif"/>
          <w:color w:val="000000"/>
          <w:kern w:val="0"/>
          <w:sz w:val="20"/>
          <w:szCs w:val="20"/>
        </w:rPr>
        <w:t>eaction parameter optimization and reaction mechanisms were studied. Under the optimized conditions, the gold leaching rate and precipitation rate could reach over 99%. DMF plays a significant role in the leaching system. As a typical polar aprotic solvent</w:t>
      </w:r>
      <w:r>
        <w:rPr>
          <w:rFonts w:ascii="sans-serif" w:hAnsi="sans-serif" w:cs="sans-serif"/>
          <w:color w:val="000000"/>
          <w:kern w:val="0"/>
          <w:sz w:val="20"/>
          <w:szCs w:val="20"/>
        </w:rPr>
        <w:t>, DMF cannot solvate Cl</w:t>
      </w:r>
      <w:r>
        <w:rPr>
          <w:rFonts w:ascii="sans-serif" w:hAnsi="sans-serif" w:cs="sans-serif"/>
          <w:color w:val="000000"/>
          <w:kern w:val="0"/>
          <w:sz w:val="20"/>
          <w:szCs w:val="20"/>
        </w:rPr>
        <w:t>−</w:t>
      </w:r>
      <w:r>
        <w:rPr>
          <w:rFonts w:ascii="sans-serif" w:hAnsi="sans-serif" w:cs="sans-serif"/>
          <w:color w:val="000000"/>
          <w:kern w:val="0"/>
          <w:sz w:val="20"/>
          <w:szCs w:val="20"/>
        </w:rPr>
        <w:t>. Thus, “Cl</w:t>
      </w:r>
      <w:r>
        <w:rPr>
          <w:rFonts w:ascii="sans-serif" w:hAnsi="sans-serif" w:cs="sans-serif"/>
          <w:color w:val="000000"/>
          <w:kern w:val="0"/>
          <w:sz w:val="20"/>
          <w:szCs w:val="20"/>
        </w:rPr>
        <w:t>−</w:t>
      </w:r>
      <w:r>
        <w:rPr>
          <w:rFonts w:ascii="sans-serif" w:hAnsi="sans-serif" w:cs="sans-serif"/>
          <w:color w:val="000000"/>
          <w:kern w:val="0"/>
          <w:sz w:val="20"/>
          <w:szCs w:val="20"/>
        </w:rPr>
        <w:t>” exists in a “naked state”, and it can easily react with Au. Besides, Au (III) could generate a complex through the complexation with DMF which could result in the redox potentials reduce and move the equilibrium to the</w:t>
      </w:r>
      <w:r>
        <w:rPr>
          <w:rFonts w:ascii="sans-serif" w:hAnsi="sans-serif" w:cs="sans-serif"/>
          <w:color w:val="000000"/>
          <w:kern w:val="0"/>
          <w:sz w:val="20"/>
          <w:szCs w:val="20"/>
        </w:rPr>
        <w:t xml:space="preserve"> Au leaching side. In summary, this study provided a fundamental basis as well as practical guidance for recovering precious metals from waste electrical and electronic equipment in an efficient manner. </w:t>
      </w:r>
      <w:r>
        <w:rPr>
          <w:rFonts w:ascii="sans-serif" w:hAnsi="sans-serif" w:cs="sans-serif"/>
          <w:color w:val="000000"/>
          <w:kern w:val="0"/>
          <w:sz w:val="20"/>
          <w:szCs w:val="20"/>
        </w:rPr>
        <w:t>©</w:t>
      </w:r>
      <w:r>
        <w:rPr>
          <w:rFonts w:ascii="sans-serif" w:hAnsi="sans-serif" w:cs="sans-serif"/>
          <w:color w:val="000000"/>
          <w:kern w:val="0"/>
          <w:sz w:val="20"/>
          <w:szCs w:val="20"/>
        </w:rPr>
        <w:t xml:space="preserve"> 2020 Elsevier Ltd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36</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Main hea</w:t>
      </w:r>
      <w:r>
        <w:rPr>
          <w:rFonts w:ascii="sans-serif" w:hAnsi="sans-serif" w:cs="sans-serif"/>
          <w:b/>
          <w:bCs/>
          <w:color w:val="000000"/>
          <w:kern w:val="0"/>
          <w:sz w:val="20"/>
          <w:szCs w:val="20"/>
        </w:rPr>
        <w:t xml:space="preserve">ding: </w:t>
      </w:r>
      <w:r>
        <w:rPr>
          <w:rFonts w:ascii="sans-serif" w:hAnsi="sans-serif" w:cs="sans-serif"/>
          <w:color w:val="000000"/>
          <w:kern w:val="0"/>
          <w:sz w:val="20"/>
          <w:szCs w:val="20"/>
        </w:rPr>
        <w:t>Printed circuit boards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Amides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Cellular telephones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Copper compounds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Electronic Waste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Gold compounds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Gold plating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Leaching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Recycling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Redox reactions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Telephone circuits </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Timing circuits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Uncontrol</w:t>
      </w:r>
      <w:r>
        <w:rPr>
          <w:rFonts w:ascii="sans-serif" w:hAnsi="sans-serif" w:cs="sans-serif"/>
          <w:b/>
          <w:bCs/>
          <w:color w:val="000000"/>
          <w:kern w:val="0"/>
          <w:sz w:val="20"/>
          <w:szCs w:val="20"/>
        </w:rPr>
        <w:t xml:space="preserve">led terms: </w:t>
      </w:r>
      <w:r>
        <w:rPr>
          <w:rFonts w:ascii="sans-serif" w:hAnsi="sans-serif" w:cs="sans-serif"/>
          <w:color w:val="000000"/>
          <w:kern w:val="0"/>
          <w:sz w:val="20"/>
          <w:szCs w:val="20"/>
        </w:rPr>
        <w:t>Mechanical pre-treatment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Optimized conditions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Polar aprotic solvent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Precipitation rates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Reaction mechanism</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Reaction parameters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Waste electrical and electronic equipment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Waste printed circuit board (PCBs)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Classificatio</w:t>
      </w:r>
      <w:r>
        <w:rPr>
          <w:rFonts w:ascii="sans-serif" w:hAnsi="sans-serif" w:cs="sans-serif"/>
          <w:b/>
          <w:bCs/>
          <w:color w:val="000000"/>
          <w:kern w:val="0"/>
          <w:sz w:val="20"/>
          <w:szCs w:val="20"/>
        </w:rPr>
        <w:t xml:space="preserve">n code: </w:t>
      </w:r>
      <w:r>
        <w:rPr>
          <w:rFonts w:ascii="sans-serif" w:hAnsi="sans-serif" w:cs="sans-serif"/>
          <w:color w:val="000000"/>
          <w:kern w:val="0"/>
          <w:sz w:val="20"/>
          <w:szCs w:val="20"/>
        </w:rPr>
        <w:t>452.3 Industrial Wastes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539.3 Metal Plating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713.4 Pulse Circuits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718.1 Telephone Systems and Equipment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802.2 Chemical Reactions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802.3 Chemical Operations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804.1 Organic Compounds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Percentage 9.90e+01%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10.1016/j.jclepro.2020.123597</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18YF1408800, Acronym: -, Sponsor: -; Number: 21806102, Acronym: NSFC, Sponsor: National Natural Science Foundation of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National Natural Science F</w:t>
      </w:r>
      <w:r>
        <w:rPr>
          <w:rFonts w:ascii="sans-serif" w:hAnsi="sans-serif" w:cs="sans-serif"/>
          <w:color w:val="000000"/>
          <w:kern w:val="0"/>
          <w:sz w:val="20"/>
          <w:szCs w:val="20"/>
        </w:rPr>
        <w:t xml:space="preserve">oundation of China ( 21806102 , 51474146 ), Shanghai Sailing Program ( 18YF1408800 ) and Gaoyuan Discipline of Shanghai </w:t>
      </w:r>
      <w:r>
        <w:rPr>
          <w:rFonts w:ascii="sans-serif" w:hAnsi="sans-serif" w:cs="sans-serif"/>
          <w:color w:val="000000"/>
          <w:kern w:val="0"/>
          <w:sz w:val="20"/>
          <w:szCs w:val="20"/>
        </w:rPr>
        <w:t>–</w:t>
      </w:r>
      <w:r>
        <w:rPr>
          <w:rFonts w:ascii="sans-serif" w:hAnsi="sans-serif" w:cs="sans-serif"/>
          <w:color w:val="000000"/>
          <w:kern w:val="0"/>
          <w:sz w:val="20"/>
          <w:szCs w:val="20"/>
        </w:rPr>
        <w:t xml:space="preserve"> Environmental Science and Engineering (Resource Recycling Science and Engineering).</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w:t>
      </w:r>
      <w:r>
        <w:rPr>
          <w:rFonts w:ascii="sans-serif" w:hAnsi="sans-serif" w:cs="sans-serif"/>
          <w:color w:val="000000"/>
          <w:kern w:val="0"/>
          <w:sz w:val="20"/>
          <w:szCs w:val="20"/>
        </w:rPr>
        <w:t>ilation and indexing terms, Copyright 2020 Elsevier Inc.</w:t>
      </w:r>
    </w:p>
    <w:p w:rsidR="00000000" w:rsidRDefault="007B4107">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7B4107">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7B4107">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 Enhanced thermoelectric performance of hot-press Bi-doped n-type polycrystalline PbS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20203609130606</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Li, Yihuai (1, 2, 3); Wu, Zihua (2, 3); Lin, Jinhao (2); Wang, Yuanyuan (2, 3); Mao, Jianhui (2, 3); Xie, Huaqing (2); Li, Zhen (1)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 xml:space="preserve">(1) School of Environmental and Chemical Engineering, Shanghai University, Shanghai; 200444, China; (2) </w:t>
      </w:r>
      <w:r>
        <w:rPr>
          <w:rFonts w:ascii="sans-serif" w:hAnsi="sans-serif" w:cs="sans-serif"/>
          <w:color w:val="000000"/>
          <w:kern w:val="0"/>
          <w:sz w:val="20"/>
          <w:szCs w:val="20"/>
        </w:rPr>
        <w:lastRenderedPageBreak/>
        <w:t>School of Environmental and Materials Engineering, College of Engineering, Shanghai Polytechnic University, Shanghai; 201209, China; (3) Research Center of Resource Recycling Science and Engineering, Shanghai Polytechnic University, Shanghai; 201209,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Xie, Huaqing(hqxie@sspu.edu.cnemaillizhen@shu.edu.cn)Li, Zhen(lizhen@shu.edu.cn)</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Materials Science in Semiconductor Processing</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Mater Sci Semicond Process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January 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105393</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13698001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Ltd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Lead sulfide (PbS) is a type of promising thermoelectric materials which is consist of elements with high n</w:t>
      </w:r>
      <w:r>
        <w:rPr>
          <w:rFonts w:ascii="sans-serif" w:hAnsi="sans-serif" w:cs="sans-serif"/>
          <w:color w:val="000000"/>
          <w:kern w:val="0"/>
          <w:sz w:val="20"/>
          <w:szCs w:val="20"/>
        </w:rPr>
        <w:t>atural abundance. However, the relatively low conversion efficiency limits its further application due to the high lattice thermal conductivity of PbS compared with that of PbTe. It has been widely accepted that nanostructuring and doping are effective way</w:t>
      </w:r>
      <w:r>
        <w:rPr>
          <w:rFonts w:ascii="sans-serif" w:hAnsi="sans-serif" w:cs="sans-serif"/>
          <w:color w:val="000000"/>
          <w:kern w:val="0"/>
          <w:sz w:val="20"/>
          <w:szCs w:val="20"/>
        </w:rPr>
        <w:t>s to enhance the thermoelectric properties. Herein, nano/micro structure Bi doped PbS materials have beensynthesized by a facile method of hydrothermal synthesis. The nano/micro structure material systems exist abundant interface which could scatter mid- a</w:t>
      </w:r>
      <w:r>
        <w:rPr>
          <w:rFonts w:ascii="sans-serif" w:hAnsi="sans-serif" w:cs="sans-serif"/>
          <w:color w:val="000000"/>
          <w:kern w:val="0"/>
          <w:sz w:val="20"/>
          <w:szCs w:val="20"/>
        </w:rPr>
        <w:t>nd low-frequency phonons effectively, combined with point defect such as Bi</w:t>
      </w:r>
      <w:r>
        <w:rPr>
          <w:rFonts w:ascii="sans-serif" w:hAnsi="sans-serif" w:cs="sans-serif"/>
          <w:color w:val="000000"/>
          <w:kern w:val="0"/>
          <w:sz w:val="20"/>
          <w:szCs w:val="20"/>
        </w:rPr>
        <w:t>–</w:t>
      </w:r>
      <w:r>
        <w:rPr>
          <w:rFonts w:ascii="sans-serif" w:hAnsi="sans-serif" w:cs="sans-serif"/>
          <w:color w:val="000000"/>
          <w:kern w:val="0"/>
          <w:sz w:val="20"/>
          <w:szCs w:val="20"/>
        </w:rPr>
        <w:t>Pb scattering high-frequency phonons, and thus the results show that the lattice thermal conductivity of PbS decreases with the increasing concentration of Bi3+ doping as expected.</w:t>
      </w:r>
      <w:r>
        <w:rPr>
          <w:rFonts w:ascii="sans-serif" w:hAnsi="sans-serif" w:cs="sans-serif"/>
          <w:color w:val="000000"/>
          <w:kern w:val="0"/>
          <w:sz w:val="20"/>
          <w:szCs w:val="20"/>
        </w:rPr>
        <w:t xml:space="preserve"> Moreover, the optimal power factor (PF) can be obtained by tuning the carrier concentration and mobility at the same time. The optimal thermoelectric figure of merit (ZT) can reach 0.89 for Pb0.96Bi0.04S at 773K and rises with the increase of the temperat</w:t>
      </w:r>
      <w:r>
        <w:rPr>
          <w:rFonts w:ascii="sans-serif" w:hAnsi="sans-serif" w:cs="sans-serif"/>
          <w:color w:val="000000"/>
          <w:kern w:val="0"/>
          <w:sz w:val="20"/>
          <w:szCs w:val="20"/>
        </w:rPr>
        <w:t xml:space="preserve">ure without sign of saturation. Our work may shed light to further possible and environmentally friendly application of PbS-based thermoelectric materials. </w:t>
      </w:r>
      <w:r>
        <w:rPr>
          <w:rFonts w:ascii="sans-serif" w:hAnsi="sans-serif" w:cs="sans-serif"/>
          <w:color w:val="000000"/>
          <w:kern w:val="0"/>
          <w:sz w:val="20"/>
          <w:szCs w:val="20"/>
        </w:rPr>
        <w:t>©</w:t>
      </w:r>
      <w:r>
        <w:rPr>
          <w:rFonts w:ascii="sans-serif" w:hAnsi="sans-serif" w:cs="sans-serif"/>
          <w:color w:val="000000"/>
          <w:kern w:val="0"/>
          <w:sz w:val="20"/>
          <w:szCs w:val="20"/>
        </w:rPr>
        <w:t xml:space="preserve"> 2020</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38</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Lead compounds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Carrier concentration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Crystal lattices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Hall mobility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Hole mobility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Hydrothermal synthesis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IV-VI semiconductors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Phonons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Sulfur compounds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Tellurium compounds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Thermal conductivity </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Thermoelectric equipment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Thermoelectricity</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Uncontrolled</w:t>
      </w:r>
      <w:r>
        <w:rPr>
          <w:rFonts w:ascii="sans-serif" w:hAnsi="sans-serif" w:cs="sans-serif"/>
          <w:b/>
          <w:bCs/>
          <w:color w:val="000000"/>
          <w:kern w:val="0"/>
          <w:sz w:val="20"/>
          <w:szCs w:val="20"/>
        </w:rPr>
        <w:t xml:space="preserve"> terms: </w:t>
      </w:r>
      <w:r>
        <w:rPr>
          <w:rFonts w:ascii="sans-serif" w:hAnsi="sans-serif" w:cs="sans-serif"/>
          <w:color w:val="000000"/>
          <w:kern w:val="0"/>
          <w:sz w:val="20"/>
          <w:szCs w:val="20"/>
        </w:rPr>
        <w:t>High frequency phonons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Lattice thermal conductivity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Low-frequency phonon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Optimal power factors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Thermo-Electric materials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Thermoelectric figure of merit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Thermoelectric performance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Thermoelectric properties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w:t>
      </w:r>
      <w:r>
        <w:rPr>
          <w:rFonts w:ascii="sans-serif" w:hAnsi="sans-serif" w:cs="sans-serif"/>
          <w:b/>
          <w:bCs/>
          <w:color w:val="000000"/>
          <w:kern w:val="0"/>
          <w:sz w:val="20"/>
          <w:szCs w:val="20"/>
        </w:rPr>
        <w:t xml:space="preserve">code: </w:t>
      </w:r>
      <w:r>
        <w:rPr>
          <w:rFonts w:ascii="sans-serif" w:hAnsi="sans-serif" w:cs="sans-serif"/>
          <w:color w:val="000000"/>
          <w:kern w:val="0"/>
          <w:sz w:val="20"/>
          <w:szCs w:val="20"/>
        </w:rPr>
        <w:t>615.4 Thermoelectric Energy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641.1 Thermodynamics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701.1 Electricity: Basic Concepts and Phenomena</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712.1 Semiconducting Materials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802.2 Chemical Reactions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933.1.1 Crystal Lattice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933.3 Electronic Structure of Solids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Numerical da</w:t>
      </w:r>
      <w:r>
        <w:rPr>
          <w:rFonts w:ascii="sans-serif" w:hAnsi="sans-serif" w:cs="sans-serif"/>
          <w:b/>
          <w:bCs/>
          <w:color w:val="000000"/>
          <w:kern w:val="0"/>
          <w:sz w:val="20"/>
          <w:szCs w:val="20"/>
        </w:rPr>
        <w:t xml:space="preserve">ta indexing: </w:t>
      </w:r>
      <w:r>
        <w:rPr>
          <w:rFonts w:ascii="sans-serif" w:hAnsi="sans-serif" w:cs="sans-serif"/>
          <w:color w:val="000000"/>
          <w:kern w:val="0"/>
          <w:sz w:val="20"/>
          <w:szCs w:val="20"/>
        </w:rPr>
        <w:t>Temperature 7.73e+02K</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10.1016/j.mssp.2020.105393</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51590902, Acronym: NSFC, Sponsor: National Natural Science Foundation of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Major Program of the National Natural Science Foundation of China (Grant No. 51590902 ), the National Natural Science Foundation of China (Grant Nos. 51676117 ) and the Gaoyuan Discipline of Shanghai Environmental Science an</w:t>
      </w:r>
      <w:r>
        <w:rPr>
          <w:rFonts w:ascii="sans-serif" w:hAnsi="sans-serif" w:cs="sans-serif"/>
          <w:color w:val="000000"/>
          <w:kern w:val="0"/>
          <w:sz w:val="20"/>
          <w:szCs w:val="20"/>
        </w:rPr>
        <w:t>d Engineering (Resource Recycling Science and Engineering) .</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7B4107">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7B4107">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7B4107">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3. Experimental optimization of nanofluids based di</w:t>
      </w:r>
      <w:r>
        <w:rPr>
          <w:rFonts w:ascii="sans-serif" w:hAnsi="sans-serif" w:cs="sans-serif"/>
          <w:b/>
          <w:bCs/>
          <w:color w:val="000000"/>
          <w:kern w:val="0"/>
          <w:sz w:val="24"/>
          <w:szCs w:val="24"/>
        </w:rPr>
        <w:t>rect absorption solar collector by optical boundary conditions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20204009264046</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Wang, Kongxiang (1); He, Yan (2); Zheng, Zhiheng (1); Gao, Jingqiong (1); Kan, Ankang (3); Xie, Huaqing (1); Yu, Wei (1)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w:t>
      </w:r>
      <w:r>
        <w:rPr>
          <w:rFonts w:ascii="sans-serif" w:hAnsi="sans-serif" w:cs="sans-serif"/>
          <w:color w:val="000000"/>
          <w:kern w:val="0"/>
          <w:sz w:val="20"/>
          <w:szCs w:val="20"/>
        </w:rPr>
        <w:t>e of Engineering, Shanghai Key Laboratory of Engineering Materials Application and Evaluation, Shanghai Polytechnic University, Shanghai; 201209, China; (2) College of Mechanical and Electrical Engineering, Qingdao University of Science and Technology, Qin</w:t>
      </w:r>
      <w:r>
        <w:rPr>
          <w:rFonts w:ascii="sans-serif" w:hAnsi="sans-serif" w:cs="sans-serif"/>
          <w:color w:val="000000"/>
          <w:kern w:val="0"/>
          <w:sz w:val="20"/>
          <w:szCs w:val="20"/>
        </w:rPr>
        <w:t>gdao; 266061, China; (3) Merchant Marine College, Shanghai Maritime University, Shanghai; 201306,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Zheng, Zhiheng(zhzheng@sspu.edu.cn)</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Applied Thermal Engineering</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Abbreviated source title: </w:t>
      </w:r>
      <w:r>
        <w:rPr>
          <w:rFonts w:ascii="sans-serif" w:hAnsi="sans-serif" w:cs="sans-serif"/>
          <w:color w:val="000000"/>
          <w:kern w:val="0"/>
          <w:sz w:val="20"/>
          <w:szCs w:val="20"/>
        </w:rPr>
        <w:t>Appl Therm Eng</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182</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5 January 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116076</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13594311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ATENFT</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Elsevier Ltd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Direct absorption solar collector (DASC) is regarded as one of the most promising next-generation solar energy collection technology. Most researches focus on the photothermal performance of working fluids. While the optical boundary condition, which is an</w:t>
      </w:r>
      <w:r>
        <w:rPr>
          <w:rFonts w:ascii="sans-serif" w:hAnsi="sans-serif" w:cs="sans-serif"/>
          <w:color w:val="000000"/>
          <w:kern w:val="0"/>
          <w:sz w:val="20"/>
          <w:szCs w:val="20"/>
        </w:rPr>
        <w:t xml:space="preserve">other important factor influencing the efficiency of DASC, receives little attention. In this paper, the ethylene glycol based TiN nanofluids are used as the research objective. The temperature-dependent optical properties of nanofluids are experimentally </w:t>
      </w:r>
      <w:r>
        <w:rPr>
          <w:rFonts w:ascii="sans-serif" w:hAnsi="sans-serif" w:cs="sans-serif"/>
          <w:color w:val="000000"/>
          <w:kern w:val="0"/>
          <w:sz w:val="20"/>
          <w:szCs w:val="20"/>
        </w:rPr>
        <w:t xml:space="preserve">investigated in detail, and when the temperature increases from 0 </w:t>
      </w:r>
      <w:r>
        <w:rPr>
          <w:rFonts w:ascii="sans-serif" w:hAnsi="sans-serif" w:cs="sans-serif"/>
          <w:color w:val="000000"/>
          <w:kern w:val="0"/>
          <w:sz w:val="20"/>
          <w:szCs w:val="20"/>
        </w:rPr>
        <w:t>°</w:t>
      </w:r>
      <w:r>
        <w:rPr>
          <w:rFonts w:ascii="sans-serif" w:hAnsi="sans-serif" w:cs="sans-serif"/>
          <w:color w:val="000000"/>
          <w:kern w:val="0"/>
          <w:sz w:val="20"/>
          <w:szCs w:val="20"/>
        </w:rPr>
        <w:t xml:space="preserve">C to 60 </w:t>
      </w:r>
      <w:r>
        <w:rPr>
          <w:rFonts w:ascii="sans-serif" w:hAnsi="sans-serif" w:cs="sans-serif"/>
          <w:color w:val="000000"/>
          <w:kern w:val="0"/>
          <w:sz w:val="20"/>
          <w:szCs w:val="20"/>
        </w:rPr>
        <w:t>°</w:t>
      </w:r>
      <w:r>
        <w:rPr>
          <w:rFonts w:ascii="sans-serif" w:hAnsi="sans-serif" w:cs="sans-serif"/>
          <w:color w:val="000000"/>
          <w:kern w:val="0"/>
          <w:sz w:val="20"/>
          <w:szCs w:val="20"/>
        </w:rPr>
        <w:t>C, the optical absorption performance of fluids could enhance ~50%, which means that the heated fluids has stronger absorption capability. To improve the photothermal conversion ef</w:t>
      </w:r>
      <w:r>
        <w:rPr>
          <w:rFonts w:ascii="sans-serif" w:hAnsi="sans-serif" w:cs="sans-serif"/>
          <w:color w:val="000000"/>
          <w:kern w:val="0"/>
          <w:sz w:val="20"/>
          <w:szCs w:val="20"/>
        </w:rPr>
        <w:t>ficiency of collector system, two types of irradiation directions have been studied for the collector, and different heat transfer mode of each type has been experimentally analyzed. The experimental results show that the added nanoparticles can significan</w:t>
      </w:r>
      <w:r>
        <w:rPr>
          <w:rFonts w:ascii="sans-serif" w:hAnsi="sans-serif" w:cs="sans-serif"/>
          <w:color w:val="000000"/>
          <w:kern w:val="0"/>
          <w:sz w:val="20"/>
          <w:szCs w:val="20"/>
        </w:rPr>
        <w:t>tly enhance the photothermal conversion efficiency of solar collectors. When the concentration of TiN is 0.003 wt.%, the photothermal conversion efficiency of bottom irradiation mode achieves ~45%, much higher than that of side irradiation. However, the si</w:t>
      </w:r>
      <w:r>
        <w:rPr>
          <w:rFonts w:ascii="sans-serif" w:hAnsi="sans-serif" w:cs="sans-serif"/>
          <w:color w:val="000000"/>
          <w:kern w:val="0"/>
          <w:sz w:val="20"/>
          <w:szCs w:val="20"/>
        </w:rPr>
        <w:t xml:space="preserve">de irradiation collector can save ~40% of time to reach steady-state compared with the bottom irradiation collector. Moreover, two kinds of collectors have a uniform temperature field (~10 </w:t>
      </w:r>
      <w:r>
        <w:rPr>
          <w:rFonts w:ascii="sans-serif" w:hAnsi="sans-serif" w:cs="sans-serif"/>
          <w:color w:val="000000"/>
          <w:kern w:val="0"/>
          <w:sz w:val="20"/>
          <w:szCs w:val="20"/>
        </w:rPr>
        <w:t>°</w:t>
      </w:r>
      <w:r>
        <w:rPr>
          <w:rFonts w:ascii="sans-serif" w:hAnsi="sans-serif" w:cs="sans-serif"/>
          <w:color w:val="000000"/>
          <w:kern w:val="0"/>
          <w:sz w:val="20"/>
          <w:szCs w:val="20"/>
        </w:rPr>
        <w:t>C difference between different depth) over 1.0 cm irradiation dept</w:t>
      </w:r>
      <w:r>
        <w:rPr>
          <w:rFonts w:ascii="sans-serif" w:hAnsi="sans-serif" w:cs="sans-serif"/>
          <w:color w:val="000000"/>
          <w:kern w:val="0"/>
          <w:sz w:val="20"/>
          <w:szCs w:val="20"/>
        </w:rPr>
        <w:t xml:space="preserve">h. Consequently, the prospects for possible applications of ethylene glycol based TiN nanofluids in high-efficiency DASC are presented. </w:t>
      </w:r>
      <w:r>
        <w:rPr>
          <w:rFonts w:ascii="sans-serif" w:hAnsi="sans-serif" w:cs="sans-serif"/>
          <w:color w:val="000000"/>
          <w:kern w:val="0"/>
          <w:sz w:val="20"/>
          <w:szCs w:val="20"/>
        </w:rPr>
        <w:t>©</w:t>
      </w:r>
      <w:r>
        <w:rPr>
          <w:rFonts w:ascii="sans-serif" w:hAnsi="sans-serif" w:cs="sans-serif"/>
          <w:color w:val="000000"/>
          <w:kern w:val="0"/>
          <w:sz w:val="20"/>
          <w:szCs w:val="20"/>
        </w:rPr>
        <w:t xml:space="preserve"> 2020 Elsevier Ltd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43</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Collector efficiency</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Aliphatic compounds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Boundary conditions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Conversion efficiency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Ethylene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Ethylene glycol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Heat transfer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Irradiation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Light absorption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Nanofluidics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Optical properties </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Polyols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Radiation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Solar energy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Titanium nitride</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w:t>
      </w:r>
      <w:r>
        <w:rPr>
          <w:rFonts w:ascii="sans-serif" w:hAnsi="sans-serif" w:cs="sans-serif"/>
          <w:b/>
          <w:bCs/>
          <w:color w:val="000000"/>
          <w:kern w:val="0"/>
          <w:sz w:val="20"/>
          <w:szCs w:val="20"/>
        </w:rPr>
        <w:t xml:space="preserve">terms: </w:t>
      </w:r>
      <w:r>
        <w:rPr>
          <w:rFonts w:ascii="sans-serif" w:hAnsi="sans-serif" w:cs="sans-serif"/>
          <w:color w:val="000000"/>
          <w:kern w:val="0"/>
          <w:sz w:val="20"/>
          <w:szCs w:val="20"/>
        </w:rPr>
        <w:t>Absorption capability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Absorption performance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Experimental optimization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Photothermal conversion efficiencies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Solar energy collections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Temperature dependent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Temperature increase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Uniform temperature field</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Classification code</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525.5 Energy Conversion Issues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641.2 Heat Transfer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657.1 Solar Energy and Phenomena</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702.3 Solar Cells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741.1 Light/Optics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761 Nanotechnology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804.1 Organic Compounds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804.2 Inorganic Compounds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Size 1.00e-</w:t>
      </w:r>
      <w:r>
        <w:rPr>
          <w:rFonts w:ascii="sans-serif" w:hAnsi="sans-serif" w:cs="sans-serif"/>
          <w:color w:val="000000"/>
          <w:kern w:val="0"/>
          <w:sz w:val="20"/>
          <w:szCs w:val="20"/>
        </w:rPr>
        <w:t>02m, Temperature 2.73e+02K to 3.33e+02K</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10.1016/j.applthermaleng.2020.116076</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17ZR1411000, Acronym: -, Sponsor: Natural Science Foundation of Shanghai; Number: 51590902,51876112, Acronym: NSFC, Sponsor: National Natural Science</w:t>
      </w:r>
      <w:r>
        <w:rPr>
          <w:rFonts w:ascii="sans-serif" w:hAnsi="sans-serif" w:cs="sans-serif"/>
          <w:color w:val="000000"/>
          <w:kern w:val="0"/>
          <w:sz w:val="20"/>
          <w:szCs w:val="20"/>
        </w:rPr>
        <w:t xml:space="preserve"> Foundation of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work was supported by National Natural Science Foundation of China ( 51590902 &amp; 51876112 ), Shanghai Municipal Natural Science Foundation (Grant No. 17ZR1411000 ).</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w:t>
      </w:r>
      <w:r>
        <w:rPr>
          <w:rFonts w:ascii="sans-serif" w:hAnsi="sans-serif" w:cs="sans-serif"/>
          <w:color w:val="000000"/>
          <w:kern w:val="0"/>
          <w:sz w:val="20"/>
          <w:szCs w:val="20"/>
        </w:rPr>
        <w:t>ation and indexing terms, Copyright 2020 Elsevier Inc.</w:t>
      </w:r>
    </w:p>
    <w:p w:rsidR="00000000" w:rsidRDefault="007B4107">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7B4107">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7B4107">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4. Dilute molybdenum atoms embedded in hierarchical nanoporous copper accelerate the hydrogen evolution reaction</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20203809194119</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 xml:space="preserve">Luo, Min </w:t>
      </w:r>
      <w:r>
        <w:rPr>
          <w:rFonts w:ascii="sans-serif" w:hAnsi="sans-serif" w:cs="sans-serif"/>
          <w:color w:val="000000"/>
          <w:kern w:val="0"/>
          <w:sz w:val="20"/>
          <w:szCs w:val="20"/>
        </w:rPr>
        <w:t>(1); Peng, Wei (2); Zhao, Yang (2); Lan, Jiao (2); Peng, Ming (2); Han, Jiuhui (3); Li, Hongju (4); Tan, Yongwen (2)</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Department of Physics, Shanghai Polytechnic University, Shanghai; 201209, China; (2) College of Materials Science a</w:t>
      </w:r>
      <w:r>
        <w:rPr>
          <w:rFonts w:ascii="sans-serif" w:hAnsi="sans-serif" w:cs="sans-serif"/>
          <w:color w:val="000000"/>
          <w:kern w:val="0"/>
          <w:sz w:val="20"/>
          <w:szCs w:val="20"/>
        </w:rPr>
        <w:t>nd Engineering, Hunan University, Changsha; Hunan; 410082, China; (3) Advanced Institute for Materials Research, Tohoku University, Sendai; 980-8577, Japan; (4) School of Electronic Science and Applied Physics, Hefei University of Technology, Hefei; Anhui;</w:t>
      </w:r>
      <w:r>
        <w:rPr>
          <w:rFonts w:ascii="sans-serif" w:hAnsi="sans-serif" w:cs="sans-serif"/>
          <w:color w:val="000000"/>
          <w:kern w:val="0"/>
          <w:sz w:val="20"/>
          <w:szCs w:val="20"/>
        </w:rPr>
        <w:t xml:space="preserve"> 230009,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Tan, Yongwen(tanyw@hnu.edu.cn)</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Scripta Materialia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Scripta Mater</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191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Issue date: </w:t>
      </w:r>
      <w:r>
        <w:rPr>
          <w:rFonts w:ascii="sans-serif" w:hAnsi="sans-serif" w:cs="sans-serif"/>
          <w:color w:val="000000"/>
          <w:kern w:val="0"/>
          <w:sz w:val="20"/>
          <w:szCs w:val="20"/>
        </w:rPr>
        <w:t>15 January 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2021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56-61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13596462</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SCMAF7</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Acta Materialia Inc</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The development of earth-abundant, non-noble, high-performance hydrogen evolution reaction (HER) electrocatalysts is still a highly challenging but vitally important</w:t>
      </w:r>
      <w:r>
        <w:rPr>
          <w:rFonts w:ascii="sans-serif" w:hAnsi="sans-serif" w:cs="sans-serif"/>
          <w:color w:val="000000"/>
          <w:kern w:val="0"/>
          <w:sz w:val="20"/>
          <w:szCs w:val="20"/>
        </w:rPr>
        <w:t xml:space="preserve"> issue for energy conversion system. Herein, we reported a self-supported Mo modified hierarchical nanoporous Cu as an efficient electrocatalyst for hydrogen evolution. The optimized nanoporous Cu-Mo electrocatalysts with extremely dilute Mo content exhibi</w:t>
      </w:r>
      <w:r>
        <w:rPr>
          <w:rFonts w:ascii="sans-serif" w:hAnsi="sans-serif" w:cs="sans-serif"/>
          <w:color w:val="000000"/>
          <w:kern w:val="0"/>
          <w:sz w:val="20"/>
          <w:szCs w:val="20"/>
        </w:rPr>
        <w:t>ts a high HER activity with a negligible onset potential, a small Tafel slope, and an excellent durability in alkaline solution. The dealloying process provides nanoporous Cu-Mo electrocatalysts a unique three-dimensional interconnected bicontinuous nanopo</w:t>
      </w:r>
      <w:r>
        <w:rPr>
          <w:rFonts w:ascii="sans-serif" w:hAnsi="sans-serif" w:cs="sans-serif"/>
          <w:color w:val="000000"/>
          <w:kern w:val="0"/>
          <w:sz w:val="20"/>
          <w:szCs w:val="20"/>
        </w:rPr>
        <w:t xml:space="preserve">rous architecture, which can not only offer high-density catalytic active sites for HER, but also accelerate the desorption of hydrogen molecule from catalysts surface. Density functional theory (DFT) calculations reveal that the introducing of Mo into Cu </w:t>
      </w:r>
      <w:r>
        <w:rPr>
          <w:rFonts w:ascii="sans-serif" w:hAnsi="sans-serif" w:cs="sans-serif"/>
          <w:color w:val="000000"/>
          <w:kern w:val="0"/>
          <w:sz w:val="20"/>
          <w:szCs w:val="20"/>
        </w:rPr>
        <w:t xml:space="preserve">matrix can accelerate water adsorption and dissociation and optimize adsorption-desorption energetics of H intermediates, thus improving the intrinsic HER activity of nanoporous Cu-Mo electrocatalysts. </w:t>
      </w:r>
      <w:r>
        <w:rPr>
          <w:rFonts w:ascii="sans-serif" w:hAnsi="sans-serif" w:cs="sans-serif"/>
          <w:color w:val="000000"/>
          <w:kern w:val="0"/>
          <w:sz w:val="20"/>
          <w:szCs w:val="20"/>
        </w:rPr>
        <w:t>©</w:t>
      </w:r>
      <w:r>
        <w:rPr>
          <w:rFonts w:ascii="sans-serif" w:hAnsi="sans-serif" w:cs="sans-serif"/>
          <w:color w:val="000000"/>
          <w:kern w:val="0"/>
          <w:sz w:val="20"/>
          <w:szCs w:val="20"/>
        </w:rPr>
        <w:t xml:space="preserve"> 2020</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37</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Hydrogen</w:t>
      </w:r>
      <w:r>
        <w:rPr>
          <w:rFonts w:ascii="sans-serif" w:hAnsi="sans-serif" w:cs="sans-serif"/>
          <w:color w:val="000000"/>
          <w:kern w:val="0"/>
          <w:sz w:val="20"/>
          <w:szCs w:val="20"/>
        </w:rPr>
        <w:t xml:space="preserve"> evolution reaction</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Binary alloys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Catalyst activity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Copper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Copper alloys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Dealloying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Density functional theory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Desorption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Electrocatalysts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Electrolysis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Energy conversion </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Molybdenum</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Adsorption desorption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Alkaline solutions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Catalysts surface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Catalytic active sites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Desorption of hydrogen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Energy conversion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Hydrogen evolution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Nano-porous coppers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525.5 Energy Conv</w:t>
      </w:r>
      <w:r>
        <w:rPr>
          <w:rFonts w:ascii="sans-serif" w:hAnsi="sans-serif" w:cs="sans-serif"/>
          <w:color w:val="000000"/>
          <w:kern w:val="0"/>
          <w:sz w:val="20"/>
          <w:szCs w:val="20"/>
        </w:rPr>
        <w:t>ersion Issues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543.3 Molybdenum and Alloys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544.1 Copper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544.2 Copper Alloys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802.2 Chemical Reactions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802.3 Chemical Operations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803 Chemical Agents and Basic Industrial Chemicals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922.1 Probability Theory</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10.1016/j.scriptamat.</w:t>
      </w:r>
      <w:r>
        <w:rPr>
          <w:rFonts w:ascii="sans-serif" w:hAnsi="sans-serif" w:cs="sans-serif"/>
          <w:color w:val="000000"/>
          <w:kern w:val="0"/>
          <w:sz w:val="20"/>
          <w:szCs w:val="20"/>
        </w:rPr>
        <w:t>2020.09.011</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2020JJ2006, Acronym: -, Sponsor: -; Number: 71860007, Acronym: SKLDMVB, Sponsor: State Key Laboratory of Advanced Design and Manufacturing for Vehicle Body; Number: 19ZR1419800, Acronym: -, Sponsor: Natural Science Foun</w:t>
      </w:r>
      <w:r>
        <w:rPr>
          <w:rFonts w:ascii="sans-serif" w:hAnsi="sans-serif" w:cs="sans-serif"/>
          <w:color w:val="000000"/>
          <w:kern w:val="0"/>
          <w:sz w:val="20"/>
          <w:szCs w:val="20"/>
        </w:rPr>
        <w:t>dation of Shanghai; Number: 51771072, Acronym: NSFC, Sponsor: National Natural Science Foundation of China;</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financially supported by National Natural Science Foundation of China (No. 51771072 , 51901076 , 61805064 ), the Outstan</w:t>
      </w:r>
      <w:r>
        <w:rPr>
          <w:rFonts w:ascii="sans-serif" w:hAnsi="sans-serif" w:cs="sans-serif"/>
          <w:color w:val="000000"/>
          <w:kern w:val="0"/>
          <w:sz w:val="20"/>
          <w:szCs w:val="20"/>
        </w:rPr>
        <w:t>ding Youth Scientist Foundation of Hunan Province (Grant No. 2020JJ2006 ), Hunan University State Key Laboratory of Advanced Design and Manufacturing for Vehicle Body Independent Research Project (No. 71860007 ), Natural Science Foundation of Shanghai (Gra</w:t>
      </w:r>
      <w:r>
        <w:rPr>
          <w:rFonts w:ascii="sans-serif" w:hAnsi="sans-serif" w:cs="sans-serif"/>
          <w:color w:val="000000"/>
          <w:kern w:val="0"/>
          <w:sz w:val="20"/>
          <w:szCs w:val="20"/>
        </w:rPr>
        <w:t>nt No. 19ZR1419800 ), and Gaoyuan Discipline of Shanghai-Environmental Science and Engineering (Resource Recycling Science and Engineering).</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7B4107">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7B4107">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Data Pro</w:t>
      </w:r>
      <w:r>
        <w:rPr>
          <w:rFonts w:ascii="sans-serif" w:hAnsi="sans-serif" w:cs="sans-serif"/>
          <w:b/>
          <w:bCs/>
          <w:color w:val="000000"/>
          <w:kern w:val="0"/>
          <w:sz w:val="20"/>
          <w:szCs w:val="20"/>
        </w:rPr>
        <w:t xml:space="preserve">vider: </w:t>
      </w:r>
      <w:r>
        <w:rPr>
          <w:rFonts w:ascii="sans-serif" w:hAnsi="sans-serif" w:cs="sans-serif"/>
          <w:color w:val="000000"/>
          <w:kern w:val="0"/>
          <w:sz w:val="20"/>
          <w:szCs w:val="20"/>
        </w:rPr>
        <w:t>Engineering Village</w:t>
      </w:r>
    </w:p>
    <w:p w:rsidR="00000000" w:rsidRDefault="007B4107">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7B4107">
      <w:pPr>
        <w:autoSpaceDE w:val="0"/>
        <w:autoSpaceDN w:val="0"/>
        <w:adjustRightInd w:val="0"/>
        <w:jc w:val="left"/>
        <w:rPr>
          <w:rFonts w:ascii="sans-serif" w:hAnsi="sans-serif" w:cs="sans-serif"/>
          <w:color w:val="000000"/>
          <w:kern w:val="0"/>
          <w:sz w:val="24"/>
          <w:szCs w:val="24"/>
        </w:rPr>
      </w:pPr>
      <w:bookmarkStart w:id="1" w:name="last-page"/>
      <w:bookmarkEnd w:id="1"/>
    </w:p>
    <w:p w:rsidR="007B4107" w:rsidRDefault="007B4107">
      <w:pPr>
        <w:autoSpaceDE w:val="0"/>
        <w:autoSpaceDN w:val="0"/>
        <w:adjustRightInd w:val="0"/>
        <w:jc w:val="left"/>
        <w:rPr>
          <w:rFonts w:ascii="Arial" w:hAnsi="Arial" w:cs="Arial"/>
          <w:kern w:val="0"/>
          <w:sz w:val="24"/>
          <w:szCs w:val="24"/>
        </w:rPr>
      </w:pPr>
    </w:p>
    <w:sectPr w:rsidR="007B4107">
      <w:headerReference w:type="default" r:id="rId6"/>
      <w:footerReference w:type="default" r:id="rId7"/>
      <w:pgSz w:w="11905" w:h="16837"/>
      <w:pgMar w:top="1417" w:right="680" w:bottom="1133"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107" w:rsidRDefault="007B4107">
      <w:r>
        <w:separator/>
      </w:r>
    </w:p>
  </w:endnote>
  <w:endnote w:type="continuationSeparator" w:id="0">
    <w:p w:rsidR="007B4107" w:rsidRDefault="007B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ans-serif">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B4107">
    <w:pPr>
      <w:tabs>
        <w:tab w:val="right" w:pos="10518"/>
      </w:tabs>
      <w:autoSpaceDE w:val="0"/>
      <w:autoSpaceDN w:val="0"/>
      <w:adjustRightInd w:val="0"/>
      <w:jc w:val="left"/>
      <w:rPr>
        <w:rFonts w:ascii="sans-serif" w:hAnsi="sans-serif" w:cs="sans-serif"/>
        <w:i/>
        <w:iCs/>
        <w:color w:val="848484"/>
        <w:kern w:val="0"/>
        <w:sz w:val="16"/>
        <w:szCs w:val="16"/>
      </w:rPr>
    </w:pPr>
    <w:r>
      <w:rPr>
        <w:rFonts w:ascii="sans-serif" w:hAnsi="sans-serif" w:cs="sans-serif"/>
        <w:i/>
        <w:iCs/>
        <w:color w:val="848484"/>
        <w:kern w:val="0"/>
        <w:sz w:val="16"/>
        <w:szCs w:val="16"/>
      </w:rPr>
      <w:t>Content provided by Engineering Village. Copyright 2020</w:t>
    </w:r>
    <w:r>
      <w:rPr>
        <w:rFonts w:ascii="sans-serif" w:hAnsi="sans-serif" w:cs="sans-serif"/>
        <w:i/>
        <w:iCs/>
        <w:color w:val="848484"/>
        <w:spacing w:val="-10"/>
        <w:kern w:val="0"/>
        <w:sz w:val="16"/>
        <w:szCs w:val="16"/>
      </w:rPr>
      <w:tab/>
    </w:r>
    <w:r>
      <w:rPr>
        <w:rFonts w:ascii="sans-serif" w:hAnsi="sans-serif" w:cs="sans-serif"/>
        <w:i/>
        <w:iCs/>
        <w:color w:val="848484"/>
        <w:kern w:val="0"/>
        <w:sz w:val="16"/>
        <w:szCs w:val="16"/>
      </w:rPr>
      <w:t xml:space="preserve">Page </w:t>
    </w:r>
    <w:r>
      <w:rPr>
        <w:rFonts w:ascii="sans-serif" w:hAnsi="sans-serif" w:cs="sans-serif"/>
        <w:i/>
        <w:iCs/>
        <w:color w:val="848484"/>
        <w:kern w:val="0"/>
        <w:sz w:val="16"/>
        <w:szCs w:val="16"/>
      </w:rPr>
      <w:pgNum/>
    </w:r>
    <w:r>
      <w:rPr>
        <w:rFonts w:ascii="sans-serif" w:hAnsi="sans-serif" w:cs="sans-serif"/>
        <w:i/>
        <w:iCs/>
        <w:color w:val="848484"/>
        <w:kern w:val="0"/>
        <w:sz w:val="16"/>
        <w:szCs w:val="16"/>
      </w:rPr>
      <w:t xml:space="preserve"> of </w:t>
    </w:r>
    <w:r>
      <w:rPr>
        <w:rFonts w:ascii="sans-serif" w:hAnsi="sans-serif" w:cs="sans-serif"/>
        <w:i/>
        <w:iCs/>
        <w:color w:val="848484"/>
        <w:kern w:val="0"/>
        <w:sz w:val="16"/>
        <w:szCs w:val="16"/>
      </w:rPr>
      <w:fldChar w:fldCharType="begin"/>
    </w:r>
    <w:r>
      <w:rPr>
        <w:rFonts w:ascii="sans-serif" w:hAnsi="sans-serif" w:cs="sans-serif"/>
        <w:i/>
        <w:iCs/>
        <w:color w:val="848484"/>
        <w:kern w:val="0"/>
        <w:sz w:val="16"/>
        <w:szCs w:val="16"/>
      </w:rPr>
      <w:instrText xml:space="preserve"> PAGEREF "last-page"  </w:instrText>
    </w:r>
    <w:r>
      <w:rPr>
        <w:rFonts w:ascii="sans-serif" w:hAnsi="sans-serif" w:cs="sans-serif"/>
        <w:i/>
        <w:iCs/>
        <w:color w:val="848484"/>
        <w:kern w:val="0"/>
        <w:sz w:val="16"/>
        <w:szCs w:val="16"/>
      </w:rPr>
      <w:fldChar w:fldCharType="separate"/>
    </w:r>
    <w:r w:rsidR="00A2741A">
      <w:rPr>
        <w:rFonts w:ascii="sans-serif" w:hAnsi="sans-serif" w:cs="sans-serif"/>
        <w:i/>
        <w:iCs/>
        <w:noProof/>
        <w:color w:val="848484"/>
        <w:kern w:val="0"/>
        <w:sz w:val="16"/>
        <w:szCs w:val="16"/>
      </w:rPr>
      <w:t>4</w:t>
    </w:r>
    <w:r>
      <w:rPr>
        <w:rFonts w:ascii="sans-serif" w:hAnsi="sans-serif" w:cs="sans-serif"/>
        <w:i/>
        <w:iCs/>
        <w:color w:val="848484"/>
        <w:kern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107" w:rsidRDefault="007B4107">
      <w:r>
        <w:separator/>
      </w:r>
    </w:p>
  </w:footnote>
  <w:footnote w:type="continuationSeparator" w:id="0">
    <w:p w:rsidR="007B4107" w:rsidRDefault="007B4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3712"/>
      <w:gridCol w:w="4330"/>
      <w:gridCol w:w="2474"/>
    </w:tblGrid>
    <w:tr w:rsidR="00000000">
      <w:tblPrEx>
        <w:tblCellMar>
          <w:top w:w="0" w:type="dxa"/>
          <w:left w:w="0" w:type="dxa"/>
          <w:bottom w:w="0" w:type="dxa"/>
          <w:right w:w="0" w:type="dxa"/>
        </w:tblCellMar>
      </w:tblPrEx>
      <w:tc>
        <w:tcPr>
          <w:tcW w:w="3712" w:type="dxa"/>
          <w:tcBorders>
            <w:top w:val="nil"/>
            <w:left w:val="nil"/>
            <w:bottom w:val="nil"/>
            <w:right w:val="nil"/>
          </w:tcBorders>
        </w:tcPr>
        <w:p w:rsidR="00000000" w:rsidRDefault="00A2741A">
          <w:pPr>
            <w:autoSpaceDE w:val="0"/>
            <w:autoSpaceDN w:val="0"/>
            <w:adjustRightInd w:val="0"/>
            <w:jc w:val="left"/>
            <w:rPr>
              <w:rFonts w:ascii="sans-serif" w:hAnsi="sans-serif" w:cs="sans-serif"/>
              <w:color w:val="424242"/>
              <w:kern w:val="0"/>
              <w:sz w:val="16"/>
              <w:szCs w:val="16"/>
            </w:rPr>
          </w:pPr>
          <w:r>
            <w:rPr>
              <w:rFonts w:ascii="sans-serif" w:hAnsi="sans-serif" w:cs="sans-serif"/>
              <w:noProof/>
              <w:color w:val="424242"/>
              <w:kern w:val="0"/>
              <w:sz w:val="16"/>
              <w:szCs w:val="16"/>
            </w:rPr>
            <w:drawing>
              <wp:inline distT="0" distB="0" distL="0" distR="0">
                <wp:extent cx="285750" cy="285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sans-serif" w:hAnsi="sans-serif" w:cs="sans-serif"/>
              <w:noProof/>
              <w:color w:val="424242"/>
              <w:kern w:val="0"/>
              <w:sz w:val="16"/>
              <w:szCs w:val="16"/>
            </w:rPr>
            <w:drawing>
              <wp:inline distT="0" distB="0" distL="0" distR="0">
                <wp:extent cx="1609725" cy="1905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725" cy="190500"/>
                        </a:xfrm>
                        <a:prstGeom prst="rect">
                          <a:avLst/>
                        </a:prstGeom>
                        <a:noFill/>
                        <a:ln>
                          <a:noFill/>
                        </a:ln>
                      </pic:spPr>
                    </pic:pic>
                  </a:graphicData>
                </a:graphic>
              </wp:inline>
            </w:drawing>
          </w:r>
        </w:p>
      </w:tc>
      <w:tc>
        <w:tcPr>
          <w:tcW w:w="4330" w:type="dxa"/>
          <w:tcBorders>
            <w:top w:val="nil"/>
            <w:left w:val="nil"/>
            <w:bottom w:val="nil"/>
            <w:right w:val="nil"/>
          </w:tcBorders>
          <w:vAlign w:val="center"/>
        </w:tcPr>
        <w:p w:rsidR="00000000" w:rsidRDefault="007B4107">
          <w:pPr>
            <w:autoSpaceDE w:val="0"/>
            <w:autoSpaceDN w:val="0"/>
            <w:adjustRightInd w:val="0"/>
            <w:jc w:val="center"/>
            <w:rPr>
              <w:rFonts w:ascii="sans-serif" w:hAnsi="sans-serif" w:cs="sans-serif"/>
              <w:color w:val="424242"/>
              <w:kern w:val="0"/>
              <w:sz w:val="16"/>
              <w:szCs w:val="16"/>
            </w:rPr>
          </w:pPr>
        </w:p>
      </w:tc>
      <w:tc>
        <w:tcPr>
          <w:tcW w:w="2474" w:type="dxa"/>
          <w:tcBorders>
            <w:top w:val="nil"/>
            <w:left w:val="nil"/>
            <w:bottom w:val="nil"/>
            <w:right w:val="nil"/>
          </w:tcBorders>
          <w:vAlign w:val="center"/>
        </w:tcPr>
        <w:p w:rsidR="00000000" w:rsidRDefault="007B4107">
          <w:pPr>
            <w:autoSpaceDE w:val="0"/>
            <w:autoSpaceDN w:val="0"/>
            <w:adjustRightInd w:val="0"/>
            <w:jc w:val="right"/>
            <w:rPr>
              <w:rFonts w:ascii="sans-serif" w:hAnsi="sans-serif" w:cs="sans-serif"/>
              <w:color w:val="424242"/>
              <w:kern w:val="0"/>
              <w:sz w:val="16"/>
              <w:szCs w:val="16"/>
            </w:rPr>
          </w:pPr>
          <w:hyperlink r:id="rId3" w:history="1">
            <w:r>
              <w:rPr>
                <w:rFonts w:ascii="sans-serif" w:hAnsi="sans-serif" w:cs="sans-serif"/>
                <w:color w:val="424242"/>
                <w:kern w:val="0"/>
                <w:sz w:val="16"/>
                <w:szCs w:val="16"/>
              </w:rPr>
              <w:t>www.engineeringvillage.com</w:t>
            </w:r>
          </w:hyperlink>
        </w:p>
        <w:p w:rsidR="00000000" w:rsidRDefault="007B4107">
          <w:pPr>
            <w:autoSpaceDE w:val="0"/>
            <w:autoSpaceDN w:val="0"/>
            <w:adjustRightInd w:val="0"/>
            <w:jc w:val="right"/>
            <w:rPr>
              <w:rFonts w:ascii="sans-serif" w:hAnsi="sans-serif" w:cs="sans-serif"/>
              <w:color w:val="424242"/>
              <w:kern w:val="0"/>
              <w:sz w:val="16"/>
              <w:szCs w:val="16"/>
            </w:rPr>
          </w:pPr>
          <w:r>
            <w:rPr>
              <w:rFonts w:ascii="sans-serif" w:hAnsi="sans-serif" w:cs="sans-serif"/>
              <w:color w:val="424242"/>
              <w:kern w:val="0"/>
              <w:sz w:val="16"/>
              <w:szCs w:val="16"/>
            </w:rPr>
            <w:t>Detailed results: 4</w:t>
          </w:r>
        </w:p>
        <w:p w:rsidR="00000000" w:rsidRDefault="007B4107">
          <w:pPr>
            <w:autoSpaceDE w:val="0"/>
            <w:autoSpaceDN w:val="0"/>
            <w:adjustRightInd w:val="0"/>
            <w:jc w:val="right"/>
            <w:rPr>
              <w:rFonts w:ascii="sans-serif" w:hAnsi="sans-serif" w:cs="sans-serif"/>
              <w:color w:val="424242"/>
              <w:kern w:val="0"/>
              <w:sz w:val="16"/>
              <w:szCs w:val="16"/>
            </w:rPr>
          </w:pPr>
          <w:r>
            <w:rPr>
              <w:rFonts w:ascii="sans-serif" w:hAnsi="sans-serif" w:cs="sans-serif"/>
              <w:color w:val="424242"/>
              <w:kern w:val="0"/>
              <w:sz w:val="16"/>
              <w:szCs w:val="16"/>
            </w:rPr>
            <w:t>Downloaded: 11/2/2020</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41A"/>
    <w:rsid w:val="007B4107"/>
    <w:rsid w:val="00A274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C7930E7-5426-467C-85BC-11C573CDD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ngineeringvillage.com"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2357</Words>
  <Characters>13437</Characters>
  <Application>Microsoft Office Word</Application>
  <DocSecurity>0</DocSecurity>
  <Lines>111</Lines>
  <Paragraphs>31</Paragraphs>
  <ScaleCrop>false</ScaleCrop>
  <Company/>
  <LinksUpToDate>false</LinksUpToDate>
  <CharactersWithSpaces>15763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测评人员</dc:creator>
  <cp:keywords/>
  <dc:description/>
  <cp:lastModifiedBy>测评人员</cp:lastModifiedBy>
  <cp:revision>2</cp:revision>
  <dcterms:created xsi:type="dcterms:W3CDTF">2020-11-02T01:41:00Z</dcterms:created>
  <dcterms:modified xsi:type="dcterms:W3CDTF">2020-11-02T01:41:00Z</dcterms:modified>
</cp:coreProperties>
</file>